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B1" w:rsidRDefault="005D20B1" w:rsidP="005D20B1">
      <w:pPr>
        <w:rPr>
          <w:b/>
        </w:rPr>
      </w:pPr>
      <w:bookmarkStart w:id="0" w:name="_GoBack"/>
      <w:bookmarkEnd w:id="0"/>
      <w:r>
        <w:rPr>
          <w:b/>
        </w:rPr>
        <w:t>NOTAT</w:t>
      </w:r>
    </w:p>
    <w:p w:rsidR="005D20B1" w:rsidRDefault="005D20B1" w:rsidP="005D20B1"/>
    <w:p w:rsidR="005D20B1" w:rsidRDefault="005D20B1" w:rsidP="005D20B1">
      <w:pPr>
        <w:rPr>
          <w:b/>
        </w:rPr>
      </w:pPr>
      <w:r>
        <w:rPr>
          <w:b/>
        </w:rPr>
        <w:t>Retningslinjer for den kommunale frokostordning</w:t>
      </w:r>
    </w:p>
    <w:p w:rsidR="005D20B1" w:rsidRDefault="005D20B1" w:rsidP="005D20B1"/>
    <w:p w:rsidR="005D20B1" w:rsidRDefault="005D20B1" w:rsidP="005D20B1">
      <w:r>
        <w:t>Retningslinjerne er en opdateret version af de oprindeligt vedtagne retningslinjer fra 2010, hvor en række mindre teknikaliteter er blevet rettet til efter aktuelle forhold.</w:t>
      </w:r>
    </w:p>
    <w:p w:rsidR="005D20B1" w:rsidRDefault="005D20B1" w:rsidP="005D20B1"/>
    <w:p w:rsidR="005D20B1" w:rsidRDefault="005D20B1" w:rsidP="005D20B1"/>
    <w:p w:rsidR="005D20B1" w:rsidRDefault="005D20B1" w:rsidP="005D20B1"/>
    <w:p w:rsidR="005D20B1" w:rsidRDefault="005D20B1" w:rsidP="005D20B1">
      <w:pPr>
        <w:rPr>
          <w:b/>
        </w:rPr>
      </w:pPr>
      <w:r>
        <w:rPr>
          <w:b/>
        </w:rPr>
        <w:t>Alle daginstitutioner i Kerteminde Kommune skal følge nedenstående retningslinjer</w:t>
      </w:r>
    </w:p>
    <w:p w:rsidR="005D20B1" w:rsidRDefault="005D20B1" w:rsidP="005D20B1"/>
    <w:tbl>
      <w:tblPr>
        <w:tblStyle w:val="Tabel-Gitter"/>
        <w:tblW w:w="9682" w:type="dxa"/>
        <w:tblInd w:w="0" w:type="dxa"/>
        <w:tblLook w:val="04A0" w:firstRow="1" w:lastRow="0" w:firstColumn="1" w:lastColumn="0" w:noHBand="0" w:noVBand="1"/>
      </w:tblPr>
      <w:tblGrid>
        <w:gridCol w:w="3314"/>
        <w:gridCol w:w="6368"/>
      </w:tblGrid>
      <w:tr w:rsidR="005D20B1" w:rsidTr="005D20B1">
        <w:trPr>
          <w:trHeight w:val="1339"/>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t xml:space="preserve">Forventet frokosttakst </w:t>
            </w:r>
          </w:p>
        </w:tc>
        <w:tc>
          <w:tcPr>
            <w:tcW w:w="6368" w:type="dxa"/>
            <w:tcBorders>
              <w:top w:val="single" w:sz="4" w:space="0" w:color="auto"/>
              <w:left w:val="single" w:sz="4" w:space="0" w:color="auto"/>
              <w:bottom w:val="single" w:sz="4" w:space="0" w:color="auto"/>
              <w:right w:val="single" w:sz="4" w:space="0" w:color="auto"/>
            </w:tcBorders>
          </w:tcPr>
          <w:p w:rsidR="005D20B1" w:rsidRDefault="005D20B1">
            <w:r>
              <w:t>Der kan maksimalt opkræves 563 kr. pr. måned i 11 måneder. Frokosttaksten opkræves særskilt. Taksten kan variere fra institution til institution fordi der ikke opkræves mere end det ordningen rent faktisk koster i den enkelte institution.</w:t>
            </w:r>
          </w:p>
          <w:p w:rsidR="005D20B1" w:rsidRDefault="005D20B1"/>
          <w:p w:rsidR="005D20B1" w:rsidRDefault="005D20B1">
            <w:r>
              <w:t>Deltager en institution i den kommunale frokostordning, er alle institutionens børn som udgangspunkt omfattet af ordningen og alle forældre opkræves frokosttaksten.</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t>Søskende- og fripladstilskud</w:t>
            </w:r>
          </w:p>
        </w:tc>
        <w:tc>
          <w:tcPr>
            <w:tcW w:w="6368" w:type="dxa"/>
            <w:tcBorders>
              <w:top w:val="single" w:sz="4" w:space="0" w:color="auto"/>
              <w:left w:val="single" w:sz="4" w:space="0" w:color="auto"/>
              <w:bottom w:val="single" w:sz="4" w:space="0" w:color="auto"/>
              <w:right w:val="single" w:sz="4" w:space="0" w:color="auto"/>
            </w:tcBorders>
            <w:hideMark/>
          </w:tcPr>
          <w:p w:rsidR="005D20B1" w:rsidRDefault="005D20B1">
            <w:r>
              <w:t>Hvis forældrene får søskende- eller fripladstilskud til dagtilbudspladsen, yders der automatisk et søskende- og fripladstilskud til frokostordningen i samme størrelsesorden. Der skal således ikke ansøges om tilskud igen.</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t>Frokostmåltid</w:t>
            </w:r>
          </w:p>
        </w:tc>
        <w:tc>
          <w:tcPr>
            <w:tcW w:w="6368" w:type="dxa"/>
            <w:tcBorders>
              <w:top w:val="single" w:sz="4" w:space="0" w:color="auto"/>
              <w:left w:val="single" w:sz="4" w:space="0" w:color="auto"/>
              <w:bottom w:val="single" w:sz="4" w:space="0" w:color="auto"/>
              <w:right w:val="single" w:sz="4" w:space="0" w:color="auto"/>
            </w:tcBorders>
          </w:tcPr>
          <w:p w:rsidR="005D20B1" w:rsidRDefault="005D20B1">
            <w:r>
              <w:t>Bestyrelse og personale i en institution, der vælger at være omfattet af den kommunale frokostordning, beslutter i fællesskab, hvilken frokostordning, der indføres i institutionen.</w:t>
            </w:r>
          </w:p>
          <w:p w:rsidR="005D20B1" w:rsidRDefault="005D20B1"/>
          <w:p w:rsidR="005D20B1" w:rsidRDefault="005D20B1">
            <w:r>
              <w:t>Frokostordningen skal opfylde følgende kriterier:</w:t>
            </w:r>
          </w:p>
          <w:p w:rsidR="005D20B1" w:rsidRDefault="005D20B1" w:rsidP="005D20B1">
            <w:pPr>
              <w:pStyle w:val="Listeafsnit"/>
              <w:numPr>
                <w:ilvl w:val="0"/>
                <w:numId w:val="1"/>
              </w:numPr>
            </w:pPr>
            <w:r>
              <w:t xml:space="preserve">Der skal tilbydes frokost alle hverdage undtagen d. 24. december og d. 5 juni. </w:t>
            </w:r>
          </w:p>
          <w:p w:rsidR="005D20B1" w:rsidRDefault="005D20B1" w:rsidP="005D20B1">
            <w:pPr>
              <w:pStyle w:val="Listeafsnit"/>
              <w:numPr>
                <w:ilvl w:val="0"/>
                <w:numId w:val="1"/>
              </w:numPr>
            </w:pPr>
            <w:r>
              <w:t>Indeholdt i taksten er evt. løn til køkkenpersonale, inkl. udgift til vikardækning (personaleadministrative udgifter afholdes fra centralt hold).</w:t>
            </w:r>
          </w:p>
          <w:p w:rsidR="005D20B1" w:rsidRDefault="005D20B1" w:rsidP="005D20B1">
            <w:pPr>
              <w:pStyle w:val="Listeafsnit"/>
              <w:numPr>
                <w:ilvl w:val="0"/>
                <w:numId w:val="1"/>
              </w:numPr>
            </w:pPr>
            <w:r>
              <w:t>Den enkelte institution fastsætter selv, hvordan midlerne fordeler sig på personaletid, råvarer (øgede udgifter til el, vand og renovation kan ikke dækkes af frokosttaksten).</w:t>
            </w:r>
          </w:p>
          <w:p w:rsidR="005D20B1" w:rsidRDefault="005D20B1" w:rsidP="005D20B1">
            <w:pPr>
              <w:pStyle w:val="Listeafsnit"/>
              <w:numPr>
                <w:ilvl w:val="0"/>
                <w:numId w:val="1"/>
              </w:numPr>
            </w:pPr>
            <w:r>
              <w:t>Køkkenpersonale skal have en køkkenfaglig og/eller hygiejneuddannelse.</w:t>
            </w:r>
          </w:p>
          <w:p w:rsidR="005D20B1" w:rsidRDefault="005D20B1" w:rsidP="005D20B1">
            <w:pPr>
              <w:pStyle w:val="Listeafsnit"/>
              <w:numPr>
                <w:ilvl w:val="0"/>
                <w:numId w:val="1"/>
              </w:numPr>
            </w:pPr>
            <w:r>
              <w:t>Institutionslederne har ansvaret for, at hygiejnekontrollen udføres i henhold til gældende lovgivning og Fødevarestyrelsens anbefalinger.</w:t>
            </w:r>
          </w:p>
          <w:p w:rsidR="005D20B1" w:rsidRDefault="005D20B1" w:rsidP="005D20B1">
            <w:pPr>
              <w:pStyle w:val="Listeafsnit"/>
              <w:numPr>
                <w:ilvl w:val="0"/>
                <w:numId w:val="1"/>
              </w:numPr>
            </w:pPr>
            <w:r>
              <w:t xml:space="preserve">Sammensætningen af frokostmåltidet skal overholde de til enhver tid gældende officielle anbefalinger for kost til børn i den pågældende aldersgruppe (anbefalingerne kan ses på </w:t>
            </w:r>
            <w:hyperlink r:id="rId9" w:history="1">
              <w:r>
                <w:rPr>
                  <w:rStyle w:val="Hyperlink"/>
                </w:rPr>
                <w:t>www.altomkost.dk</w:t>
              </w:r>
            </w:hyperlink>
            <w:r>
              <w:t xml:space="preserve">). </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t>Køkkenkapacitet</w:t>
            </w:r>
          </w:p>
        </w:tc>
        <w:tc>
          <w:tcPr>
            <w:tcW w:w="6368" w:type="dxa"/>
            <w:tcBorders>
              <w:top w:val="single" w:sz="4" w:space="0" w:color="auto"/>
              <w:left w:val="single" w:sz="4" w:space="0" w:color="auto"/>
              <w:bottom w:val="single" w:sz="4" w:space="0" w:color="auto"/>
              <w:right w:val="single" w:sz="4" w:space="0" w:color="auto"/>
            </w:tcBorders>
            <w:hideMark/>
          </w:tcPr>
          <w:p w:rsidR="005D20B1" w:rsidRDefault="005D20B1">
            <w:r>
              <w:t>Køkkener opgraderes som minimum til anretter-køkkener.</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67226F">
            <w:pPr>
              <w:rPr>
                <w:b/>
              </w:rPr>
            </w:pPr>
            <w:r>
              <w:rPr>
                <w:b/>
              </w:rPr>
              <w:t>Valgproced</w:t>
            </w:r>
            <w:r w:rsidR="005D20B1">
              <w:rPr>
                <w:b/>
              </w:rPr>
              <w:t>ure</w:t>
            </w:r>
          </w:p>
        </w:tc>
        <w:tc>
          <w:tcPr>
            <w:tcW w:w="6368" w:type="dxa"/>
            <w:tcBorders>
              <w:top w:val="single" w:sz="4" w:space="0" w:color="auto"/>
              <w:left w:val="single" w:sz="4" w:space="0" w:color="auto"/>
              <w:bottom w:val="single" w:sz="4" w:space="0" w:color="auto"/>
              <w:right w:val="single" w:sz="4" w:space="0" w:color="auto"/>
            </w:tcBorders>
          </w:tcPr>
          <w:p w:rsidR="005D20B1" w:rsidRDefault="005D20B1">
            <w:r>
              <w:t>I 2008 besluttede Folketinget, at alle børn i dagtilbud skal tilbydes et sundt frokostmåltid hver dag. I 2010 blev frokostordningen gjort fleksibel således at der blev skabt mulighed for, at forældregruppen kan fravælge frokostordningen, jf. Dagtilbudsloven § 16 b. Forældrebestyrelsen i en daginstitution skal således, på baggrund af flertallet af forældrenes tilkendegivelser i en skriftlig høring, have mulighed for at vælge det sunde frokostmåltid fra.</w:t>
            </w:r>
          </w:p>
          <w:p w:rsidR="005D20B1" w:rsidRDefault="005D20B1"/>
          <w:p w:rsidR="005D20B1" w:rsidRDefault="005D20B1">
            <w:r>
              <w:t xml:space="preserve">Muligheden for at fravælge frokostordningen er et anderledes valg, der kræver særlig opmærksomhed. Når der udskrives valg, kan man som regel stemme ja eller nej, for eller imod, med mulighed for at </w:t>
            </w:r>
            <w:r>
              <w:lastRenderedPageBreak/>
              <w:t>tilkendegive ’ved ikke’, men i forbindelse med fravalget af frokostordningen er valget anderledes. Med Dagtilbudsloven er der sagt ja til frokostordningen for alle børn i daginstitutioner. Det er alene, hvis du/I som forældre vil påvirke til et fravalg af frokostordningen, at I skal stemme. Blanke stemmesedler og ikke-afgivne stemmer tæller som ja til ordningen. Forældre, der ikke aktivt afgiver en stemme, indgår i afstemningens resultat som forældre, der ikke har fravalgt frokostordningen.</w:t>
            </w:r>
          </w:p>
          <w:p w:rsidR="005D20B1" w:rsidRDefault="005D20B1">
            <w:r>
              <w:t>Ovenstående skal forstås således, at der skal være flere stemmer imod den kommunale frokostordning end ikke afgivne eller blanke stemmer, for at frokostordningen er fravalgt i institutionen.</w:t>
            </w:r>
          </w:p>
          <w:p w:rsidR="005D20B1" w:rsidRDefault="005D20B1"/>
          <w:p w:rsidR="005D20B1" w:rsidRDefault="005D20B1">
            <w:r>
              <w:t>I alle institutioner foretages tilvalg eller fravalg af den kommunale frokostordning efter følgende procedure:</w:t>
            </w:r>
          </w:p>
          <w:p w:rsidR="005D20B1" w:rsidRDefault="005D20B1" w:rsidP="005D20B1">
            <w:pPr>
              <w:pStyle w:val="Listeafsnit"/>
              <w:numPr>
                <w:ilvl w:val="0"/>
                <w:numId w:val="2"/>
              </w:numPr>
            </w:pPr>
            <w:r>
              <w:t>Valg foretages hvert andet år i lige år</w:t>
            </w:r>
          </w:p>
          <w:p w:rsidR="005D20B1" w:rsidRDefault="005D20B1" w:rsidP="005D20B1">
            <w:pPr>
              <w:pStyle w:val="Listeafsnit"/>
              <w:numPr>
                <w:ilvl w:val="0"/>
                <w:numId w:val="2"/>
              </w:numPr>
            </w:pPr>
            <w:r>
              <w:t>Valg foretages af bestyrelsen</w:t>
            </w:r>
          </w:p>
          <w:p w:rsidR="005D20B1" w:rsidRDefault="005D20B1" w:rsidP="005D20B1">
            <w:pPr>
              <w:pStyle w:val="Listeafsnit"/>
              <w:numPr>
                <w:ilvl w:val="0"/>
                <w:numId w:val="2"/>
              </w:numPr>
            </w:pPr>
            <w:r>
              <w:t>Institutionens samlede forældregruppe høres skriftligt om deres holdning til deltagelse i den kommunale frokostordning forud for bestyrelsens valg</w:t>
            </w:r>
          </w:p>
          <w:p w:rsidR="005D20B1" w:rsidRDefault="005D20B1" w:rsidP="005D20B1">
            <w:pPr>
              <w:pStyle w:val="Listeafsnit"/>
              <w:numPr>
                <w:ilvl w:val="0"/>
                <w:numId w:val="2"/>
              </w:numPr>
            </w:pPr>
            <w:r>
              <w:t>Administrationen skal oplyse forældrene om den forventede takst og om adgangen til søskende- og fripladstilskud i forbindelse med høringens begyndelse</w:t>
            </w:r>
          </w:p>
          <w:p w:rsidR="005D20B1" w:rsidRDefault="005D20B1" w:rsidP="005D20B1">
            <w:pPr>
              <w:pStyle w:val="Listeafsnit"/>
              <w:numPr>
                <w:ilvl w:val="0"/>
                <w:numId w:val="2"/>
              </w:numPr>
            </w:pPr>
            <w:r>
              <w:t>Forældrepar har ét svar pr. barn i institutionen</w:t>
            </w:r>
          </w:p>
          <w:p w:rsidR="005D20B1" w:rsidRDefault="005D20B1" w:rsidP="005D20B1">
            <w:pPr>
              <w:pStyle w:val="Listeafsnit"/>
              <w:numPr>
                <w:ilvl w:val="0"/>
                <w:numId w:val="2"/>
              </w:numPr>
            </w:pPr>
            <w:r>
              <w:t>Blanke svar tæller som ja til den kommunale frokostordning, da der således ikke er foretaget et fravalg af frokostordningen</w:t>
            </w:r>
          </w:p>
          <w:p w:rsidR="005D20B1" w:rsidRDefault="005D20B1" w:rsidP="005D20B1">
            <w:pPr>
              <w:pStyle w:val="Listeafsnit"/>
              <w:numPr>
                <w:ilvl w:val="0"/>
                <w:numId w:val="2"/>
              </w:numPr>
            </w:pPr>
            <w:r>
              <w:t>Manglende svar tæller som ja til den kommunale frokostordning, da der således ikke er foretaget et fravalg af frokostordningen</w:t>
            </w:r>
          </w:p>
          <w:p w:rsidR="005D20B1" w:rsidRDefault="005D20B1" w:rsidP="005D20B1">
            <w:pPr>
              <w:pStyle w:val="Listeafsnit"/>
              <w:numPr>
                <w:ilvl w:val="0"/>
                <w:numId w:val="2"/>
              </w:numPr>
            </w:pPr>
            <w:r>
              <w:t>Bestyrelsen træffer sin beslutning på baggrund af flertallet af forældrenes tilkendegivelse</w:t>
            </w:r>
          </w:p>
          <w:p w:rsidR="005D20B1" w:rsidRDefault="005D20B1" w:rsidP="005D20B1">
            <w:pPr>
              <w:pStyle w:val="Listeafsnit"/>
              <w:numPr>
                <w:ilvl w:val="0"/>
                <w:numId w:val="2"/>
              </w:numPr>
            </w:pPr>
            <w:r>
              <w:t>Svarer mindre end et flertal af forældrene på høringen, skal bestyrelsen gentage høringen (evt. i forbindelse med et møde)</w:t>
            </w:r>
          </w:p>
          <w:p w:rsidR="005D20B1" w:rsidRDefault="005D20B1" w:rsidP="0067226F">
            <w:pPr>
              <w:pStyle w:val="Listeafsnit"/>
              <w:numPr>
                <w:ilvl w:val="0"/>
                <w:numId w:val="2"/>
              </w:numPr>
            </w:pPr>
            <w:r>
              <w:t>En frokostordning etableres eller ophører</w:t>
            </w:r>
            <w:r w:rsidR="0067226F">
              <w:t xml:space="preserve">, som udgangspunkt, </w:t>
            </w:r>
            <w:r>
              <w:t xml:space="preserve"> i 3. </w:t>
            </w:r>
            <w:proofErr w:type="spellStart"/>
            <w:r>
              <w:t>kvatal</w:t>
            </w:r>
            <w:proofErr w:type="spellEnd"/>
            <w:r>
              <w:t xml:space="preserve"> i lige </w:t>
            </w:r>
            <w:r w:rsidR="0067226F">
              <w:t>år.</w:t>
            </w:r>
          </w:p>
          <w:p w:rsidR="005D20B1" w:rsidRDefault="005D20B1" w:rsidP="005D20B1">
            <w:pPr>
              <w:pStyle w:val="Listeafsnit"/>
              <w:numPr>
                <w:ilvl w:val="0"/>
                <w:numId w:val="2"/>
              </w:numPr>
            </w:pPr>
            <w:r>
              <w:t>I aldersintegrerede institutioner kan bestyrelsen vælge at lade vuggestuegruppen omfatte af en frokostordning, mens børnehavegruppen undtages</w:t>
            </w:r>
          </w:p>
          <w:p w:rsidR="005D20B1" w:rsidRDefault="005D20B1"/>
          <w:p w:rsidR="005D20B1" w:rsidRDefault="005D20B1" w:rsidP="0067226F">
            <w:r>
              <w:t>Bestyrelsen har pligt til at gentage valget efter ovennævnte procedure hvert andet år i lige år og melde en beslutning til administrationen.</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lastRenderedPageBreak/>
              <w:t xml:space="preserve">Områdeinstitutioner, </w:t>
            </w:r>
            <w:proofErr w:type="spellStart"/>
            <w:r>
              <w:rPr>
                <w:b/>
              </w:rPr>
              <w:t>samdrevne</w:t>
            </w:r>
            <w:proofErr w:type="spellEnd"/>
            <w:r>
              <w:rPr>
                <w:b/>
              </w:rPr>
              <w:t xml:space="preserve"> institutioner, førskolegrupper og udegrupper</w:t>
            </w:r>
          </w:p>
        </w:tc>
        <w:tc>
          <w:tcPr>
            <w:tcW w:w="6368" w:type="dxa"/>
            <w:tcBorders>
              <w:top w:val="single" w:sz="4" w:space="0" w:color="auto"/>
              <w:left w:val="single" w:sz="4" w:space="0" w:color="auto"/>
              <w:bottom w:val="single" w:sz="4" w:space="0" w:color="auto"/>
              <w:right w:val="single" w:sz="4" w:space="0" w:color="auto"/>
            </w:tcBorders>
          </w:tcPr>
          <w:p w:rsidR="005D20B1" w:rsidRDefault="005D20B1">
            <w:proofErr w:type="spellStart"/>
            <w:r>
              <w:t>Samdrevne</w:t>
            </w:r>
            <w:proofErr w:type="spellEnd"/>
            <w:r>
              <w:t xml:space="preserve"> institutioner betragtes som én enhed. Det betyder, at det valg, bestyrelsen træffer, gælder for alle børn indskrevet i børnehavegrupperne, uanset om de går i en </w:t>
            </w:r>
            <w:proofErr w:type="spellStart"/>
            <w:r>
              <w:t>samdreven</w:t>
            </w:r>
            <w:proofErr w:type="spellEnd"/>
            <w:r>
              <w:t xml:space="preserve"> institution, går i førskolegruppe eller i en udegruppe, fx en busgruppe.</w:t>
            </w:r>
          </w:p>
          <w:p w:rsidR="005D20B1" w:rsidRDefault="005D20B1"/>
          <w:p w:rsidR="005D20B1" w:rsidRDefault="005D20B1">
            <w:r>
              <w:t>Områdeinstitutioner som er spredt på flere fysisk adskilte børnehuse betragtes som flere enheder. Det betyder, at beslutning om valg af frokostordning træffes i den enkelte enhed, og valget træffes via en afstemning, hvor reglen om simpelt flertal gælder. Manglende svar tæller ikke med.</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t>Undtagelse af børn</w:t>
            </w:r>
          </w:p>
        </w:tc>
        <w:tc>
          <w:tcPr>
            <w:tcW w:w="6368" w:type="dxa"/>
            <w:tcBorders>
              <w:top w:val="single" w:sz="4" w:space="0" w:color="auto"/>
              <w:left w:val="single" w:sz="4" w:space="0" w:color="auto"/>
              <w:bottom w:val="single" w:sz="4" w:space="0" w:color="auto"/>
              <w:right w:val="single" w:sz="4" w:space="0" w:color="auto"/>
            </w:tcBorders>
            <w:hideMark/>
          </w:tcPr>
          <w:p w:rsidR="005D20B1" w:rsidRDefault="005D20B1">
            <w:r>
              <w:t>Administrationen kan undtage børn, der har en lægedokumenteret allergi eller anden sygdom, når det vurderes, at institutionen ikke på forsvarlig vis kan tilbyde barnet et frokostmåltid.</w:t>
            </w:r>
          </w:p>
          <w:p w:rsidR="005D20B1" w:rsidRDefault="005D20B1">
            <w:r>
              <w:t xml:space="preserve">Forældre kan søge om undtagelse af deres barn ved at sende en </w:t>
            </w:r>
            <w:r>
              <w:lastRenderedPageBreak/>
              <w:t>lægeerklæring og en beskrivelse af særlige krav til kosten til afdelingen for Skole- og Dagtilbud. Udgiften til lægeerklæringen betales af forældrene.</w:t>
            </w:r>
          </w:p>
          <w:p w:rsidR="005D20B1" w:rsidRDefault="005D20B1">
            <w:r>
              <w:t>Undtages et barn opkræves forældrene ikke frokosttaksten.</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lastRenderedPageBreak/>
              <w:t>Forældrearrangeret frokostordninger</w:t>
            </w:r>
          </w:p>
        </w:tc>
        <w:tc>
          <w:tcPr>
            <w:tcW w:w="6368" w:type="dxa"/>
            <w:tcBorders>
              <w:top w:val="single" w:sz="4" w:space="0" w:color="auto"/>
              <w:left w:val="single" w:sz="4" w:space="0" w:color="auto"/>
              <w:bottom w:val="single" w:sz="4" w:space="0" w:color="auto"/>
              <w:right w:val="single" w:sz="4" w:space="0" w:color="auto"/>
            </w:tcBorders>
          </w:tcPr>
          <w:p w:rsidR="005D20B1" w:rsidRDefault="005D20B1">
            <w:r>
              <w:t>I institutioner, hvor bestyrelsen har fravalgt den kommunale frokostordning, kan forældre i institutionen vælge at indføre en forældrearrangeret frokostordning. Det er frivilligt for de øvrige forældre at deltage. Der ydes søskende- og fripladstilskud til den forældrearrangerede frokostordning.</w:t>
            </w:r>
          </w:p>
          <w:p w:rsidR="005D20B1" w:rsidRDefault="005D20B1"/>
          <w:p w:rsidR="005D20B1" w:rsidRDefault="005D20B1">
            <w:r>
              <w:t>Den forældrearrangerede frokostordning skal opfylde følgende kriterier:</w:t>
            </w:r>
          </w:p>
          <w:p w:rsidR="005D20B1" w:rsidRDefault="005D20B1" w:rsidP="005D20B1">
            <w:pPr>
              <w:pStyle w:val="Listeafsnit"/>
              <w:numPr>
                <w:ilvl w:val="0"/>
                <w:numId w:val="3"/>
              </w:numPr>
            </w:pPr>
            <w:r>
              <w:t>Forældre må maksimalt opkræves 563 kr. pr. måned i 11 måneder i frokosttakst.</w:t>
            </w:r>
          </w:p>
          <w:p w:rsidR="005D20B1" w:rsidRDefault="005D20B1" w:rsidP="005D20B1">
            <w:pPr>
              <w:pStyle w:val="Listeafsnit"/>
              <w:numPr>
                <w:ilvl w:val="0"/>
                <w:numId w:val="3"/>
              </w:numPr>
            </w:pPr>
            <w:r>
              <w:t>Pladsanvisningen opkræver taksten mod et administrationsgebyr, der fastsættes af pladsanvisningen (frokosttaksten er ekskl. gebyr).</w:t>
            </w:r>
          </w:p>
          <w:p w:rsidR="005D20B1" w:rsidRDefault="005D20B1" w:rsidP="005D20B1">
            <w:pPr>
              <w:pStyle w:val="Listeafsnit"/>
              <w:numPr>
                <w:ilvl w:val="0"/>
                <w:numId w:val="3"/>
              </w:numPr>
            </w:pPr>
            <w:r>
              <w:t>Der skal etableres en forældreforening, der har ansvaret for ledelse og administration af ordningen, herunder aflæggelse af regnskab, ledelse af eventuelt køkkenpersonale, varetagelse af hygiejnekontrol mv.</w:t>
            </w:r>
          </w:p>
        </w:tc>
      </w:tr>
      <w:tr w:rsidR="005D20B1" w:rsidTr="005D20B1">
        <w:trPr>
          <w:trHeight w:val="218"/>
        </w:trPr>
        <w:tc>
          <w:tcPr>
            <w:tcW w:w="3314" w:type="dxa"/>
            <w:tcBorders>
              <w:top w:val="single" w:sz="4" w:space="0" w:color="auto"/>
              <w:left w:val="single" w:sz="4" w:space="0" w:color="auto"/>
              <w:bottom w:val="single" w:sz="4" w:space="0" w:color="auto"/>
              <w:right w:val="single" w:sz="4" w:space="0" w:color="auto"/>
            </w:tcBorders>
            <w:hideMark/>
          </w:tcPr>
          <w:p w:rsidR="005D20B1" w:rsidRDefault="005D20B1">
            <w:pPr>
              <w:rPr>
                <w:b/>
              </w:rPr>
            </w:pPr>
            <w:r>
              <w:rPr>
                <w:b/>
              </w:rPr>
              <w:t>Forældrearrangerede madordninger</w:t>
            </w:r>
          </w:p>
        </w:tc>
        <w:tc>
          <w:tcPr>
            <w:tcW w:w="6368" w:type="dxa"/>
            <w:tcBorders>
              <w:top w:val="single" w:sz="4" w:space="0" w:color="auto"/>
              <w:left w:val="single" w:sz="4" w:space="0" w:color="auto"/>
              <w:bottom w:val="single" w:sz="4" w:space="0" w:color="auto"/>
              <w:right w:val="single" w:sz="4" w:space="0" w:color="auto"/>
            </w:tcBorders>
            <w:hideMark/>
          </w:tcPr>
          <w:p w:rsidR="005D20B1" w:rsidRDefault="005D20B1">
            <w:r>
              <w:t>Forældre kan vælge at arrangere en madordning, der omfatter et eller flere af dagens øvrige måltider, dvs. morgenmad, eftermiddagsmad eller frugtordning. Det er frivilligt at deltage i ordningen. Der ydes ikke søskende- og fripladstilskud til ordningen.</w:t>
            </w:r>
          </w:p>
        </w:tc>
      </w:tr>
    </w:tbl>
    <w:p w:rsidR="00783DB8" w:rsidRPr="007C048B" w:rsidRDefault="00783DB8">
      <w:pPr>
        <w:rPr>
          <w:rFonts w:cs="Arial"/>
          <w:szCs w:val="20"/>
        </w:rPr>
      </w:pPr>
    </w:p>
    <w:sectPr w:rsidR="00783DB8" w:rsidRPr="007C048B" w:rsidSect="00F02749">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775" w:rsidRDefault="00DF4775" w:rsidP="00DF4775">
      <w:r>
        <w:separator/>
      </w:r>
    </w:p>
  </w:endnote>
  <w:endnote w:type="continuationSeparator" w:id="0">
    <w:p w:rsidR="00DF4775" w:rsidRDefault="00DF4775" w:rsidP="00DF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9" w:rsidRDefault="00F0274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739284"/>
      <w:docPartObj>
        <w:docPartGallery w:val="Page Numbers (Bottom of Page)"/>
        <w:docPartUnique/>
      </w:docPartObj>
    </w:sdtPr>
    <w:sdtEndPr/>
    <w:sdtContent>
      <w:p w:rsidR="00F02749" w:rsidRDefault="00F02749">
        <w:pPr>
          <w:pStyle w:val="Sidefod"/>
          <w:jc w:val="right"/>
        </w:pPr>
        <w:r>
          <w:fldChar w:fldCharType="begin"/>
        </w:r>
        <w:r>
          <w:instrText>PAGE   \* MERGEFORMAT</w:instrText>
        </w:r>
        <w:r>
          <w:fldChar w:fldCharType="separate"/>
        </w:r>
        <w:r w:rsidR="0052579D">
          <w:rPr>
            <w:noProof/>
          </w:rPr>
          <w:t>1</w:t>
        </w:r>
        <w:r>
          <w:fldChar w:fldCharType="end"/>
        </w:r>
      </w:p>
    </w:sdtContent>
  </w:sdt>
  <w:p w:rsidR="00F02749" w:rsidRDefault="00F02749">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9" w:rsidRDefault="00F0274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775" w:rsidRDefault="00DF4775" w:rsidP="00DF4775">
      <w:r>
        <w:separator/>
      </w:r>
    </w:p>
  </w:footnote>
  <w:footnote w:type="continuationSeparator" w:id="0">
    <w:p w:rsidR="00DF4775" w:rsidRDefault="00DF4775" w:rsidP="00DF4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9" w:rsidRDefault="00F02749">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28B" w:rsidRDefault="00F02749" w:rsidP="00F02749">
    <w:pPr>
      <w:pStyle w:val="Sidehoved"/>
      <w:jc w:val="right"/>
    </w:pPr>
    <w:r>
      <w:rPr>
        <w:noProof/>
      </w:rPr>
      <w:drawing>
        <wp:inline distT="0" distB="0" distL="0" distR="0" wp14:anchorId="1B3897F9" wp14:editId="652AE932">
          <wp:extent cx="885825" cy="7048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teminde.jpg"/>
                  <pic:cNvPicPr/>
                </pic:nvPicPr>
                <pic:blipFill>
                  <a:blip r:embed="rId1">
                    <a:extLst>
                      <a:ext uri="{28A0092B-C50C-407E-A947-70E740481C1C}">
                        <a14:useLocalDpi xmlns:a14="http://schemas.microsoft.com/office/drawing/2010/main" val="0"/>
                      </a:ext>
                    </a:extLst>
                  </a:blip>
                  <a:stretch>
                    <a:fillRect/>
                  </a:stretch>
                </pic:blipFill>
                <pic:spPr>
                  <a:xfrm>
                    <a:off x="0" y="0"/>
                    <a:ext cx="911281" cy="725105"/>
                  </a:xfrm>
                  <a:prstGeom prst="rect">
                    <a:avLst/>
                  </a:prstGeom>
                </pic:spPr>
              </pic:pic>
            </a:graphicData>
          </a:graphic>
        </wp:inline>
      </w:drawing>
    </w:r>
  </w:p>
  <w:p w:rsidR="00DF4775" w:rsidRDefault="00DF4775" w:rsidP="00DF477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749" w:rsidRDefault="00F0274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51D29"/>
    <w:multiLevelType w:val="hybridMultilevel"/>
    <w:tmpl w:val="A89CE64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nsid w:val="64317453"/>
    <w:multiLevelType w:val="hybridMultilevel"/>
    <w:tmpl w:val="E528F7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69604354"/>
    <w:multiLevelType w:val="hybridMultilevel"/>
    <w:tmpl w:val="854AF3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8B"/>
    <w:rsid w:val="000D1037"/>
    <w:rsid w:val="0052579D"/>
    <w:rsid w:val="005D20B1"/>
    <w:rsid w:val="0067226F"/>
    <w:rsid w:val="00783DB8"/>
    <w:rsid w:val="007C048B"/>
    <w:rsid w:val="00D2028B"/>
    <w:rsid w:val="00DF4775"/>
    <w:rsid w:val="00F02749"/>
    <w:rsid w:val="00FC395E"/>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B1"/>
    <w:pPr>
      <w:spacing w:after="0" w:line="240" w:lineRule="auto"/>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4775"/>
    <w:pPr>
      <w:tabs>
        <w:tab w:val="center" w:pos="4819"/>
        <w:tab w:val="right" w:pos="9638"/>
      </w:tabs>
    </w:pPr>
  </w:style>
  <w:style w:type="character" w:customStyle="1" w:styleId="SidehovedTegn">
    <w:name w:val="Sidehoved Tegn"/>
    <w:basedOn w:val="Standardskrifttypeiafsnit"/>
    <w:link w:val="Sidehoved"/>
    <w:uiPriority w:val="99"/>
    <w:rsid w:val="00DF4775"/>
  </w:style>
  <w:style w:type="paragraph" w:styleId="Sidefod">
    <w:name w:val="footer"/>
    <w:basedOn w:val="Normal"/>
    <w:link w:val="SidefodTegn"/>
    <w:uiPriority w:val="99"/>
    <w:unhideWhenUsed/>
    <w:rsid w:val="00DF4775"/>
    <w:pPr>
      <w:tabs>
        <w:tab w:val="center" w:pos="4819"/>
        <w:tab w:val="right" w:pos="9638"/>
      </w:tabs>
    </w:pPr>
  </w:style>
  <w:style w:type="character" w:customStyle="1" w:styleId="SidefodTegn">
    <w:name w:val="Sidefod Tegn"/>
    <w:basedOn w:val="Standardskrifttypeiafsnit"/>
    <w:link w:val="Sidefod"/>
    <w:uiPriority w:val="99"/>
    <w:rsid w:val="00DF4775"/>
  </w:style>
  <w:style w:type="paragraph" w:styleId="Markeringsbobletekst">
    <w:name w:val="Balloon Text"/>
    <w:basedOn w:val="Normal"/>
    <w:link w:val="MarkeringsbobletekstTegn"/>
    <w:uiPriority w:val="99"/>
    <w:semiHidden/>
    <w:unhideWhenUsed/>
    <w:rsid w:val="00DF477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775"/>
    <w:rPr>
      <w:rFonts w:ascii="Tahoma" w:hAnsi="Tahoma" w:cs="Tahoma"/>
      <w:sz w:val="16"/>
      <w:szCs w:val="16"/>
    </w:rPr>
  </w:style>
  <w:style w:type="character" w:styleId="Hyperlink">
    <w:name w:val="Hyperlink"/>
    <w:basedOn w:val="Standardskrifttypeiafsnit"/>
    <w:semiHidden/>
    <w:unhideWhenUsed/>
    <w:rsid w:val="005D20B1"/>
    <w:rPr>
      <w:color w:val="0000FF"/>
      <w:u w:val="single"/>
    </w:rPr>
  </w:style>
  <w:style w:type="paragraph" w:styleId="Listeafsnit">
    <w:name w:val="List Paragraph"/>
    <w:basedOn w:val="Normal"/>
    <w:uiPriority w:val="34"/>
    <w:qFormat/>
    <w:rsid w:val="005D20B1"/>
    <w:pPr>
      <w:ind w:left="720"/>
      <w:contextualSpacing/>
    </w:pPr>
  </w:style>
  <w:style w:type="table" w:styleId="Tabel-Gitter">
    <w:name w:val="Table Grid"/>
    <w:basedOn w:val="Tabel-Normal"/>
    <w:rsid w:val="005D20B1"/>
    <w:pPr>
      <w:spacing w:after="0" w:line="240" w:lineRule="auto"/>
    </w:pPr>
    <w:rPr>
      <w:rFonts w:ascii="Times New Roman" w:eastAsia="Times New Roman" w:hAnsi="Times New Roman" w:cs="Times New Roman"/>
      <w:sz w:val="20"/>
      <w:szCs w:val="20"/>
      <w:lang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0B1"/>
    <w:pPr>
      <w:spacing w:after="0" w:line="240" w:lineRule="auto"/>
    </w:pPr>
    <w:rPr>
      <w:rFonts w:ascii="Arial" w:eastAsia="Times New Roman" w:hAnsi="Arial" w:cs="Times New Roman"/>
      <w:sz w:val="20"/>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DF4775"/>
    <w:pPr>
      <w:tabs>
        <w:tab w:val="center" w:pos="4819"/>
        <w:tab w:val="right" w:pos="9638"/>
      </w:tabs>
    </w:pPr>
  </w:style>
  <w:style w:type="character" w:customStyle="1" w:styleId="SidehovedTegn">
    <w:name w:val="Sidehoved Tegn"/>
    <w:basedOn w:val="Standardskrifttypeiafsnit"/>
    <w:link w:val="Sidehoved"/>
    <w:uiPriority w:val="99"/>
    <w:rsid w:val="00DF4775"/>
  </w:style>
  <w:style w:type="paragraph" w:styleId="Sidefod">
    <w:name w:val="footer"/>
    <w:basedOn w:val="Normal"/>
    <w:link w:val="SidefodTegn"/>
    <w:uiPriority w:val="99"/>
    <w:unhideWhenUsed/>
    <w:rsid w:val="00DF4775"/>
    <w:pPr>
      <w:tabs>
        <w:tab w:val="center" w:pos="4819"/>
        <w:tab w:val="right" w:pos="9638"/>
      </w:tabs>
    </w:pPr>
  </w:style>
  <w:style w:type="character" w:customStyle="1" w:styleId="SidefodTegn">
    <w:name w:val="Sidefod Tegn"/>
    <w:basedOn w:val="Standardskrifttypeiafsnit"/>
    <w:link w:val="Sidefod"/>
    <w:uiPriority w:val="99"/>
    <w:rsid w:val="00DF4775"/>
  </w:style>
  <w:style w:type="paragraph" w:styleId="Markeringsbobletekst">
    <w:name w:val="Balloon Text"/>
    <w:basedOn w:val="Normal"/>
    <w:link w:val="MarkeringsbobletekstTegn"/>
    <w:uiPriority w:val="99"/>
    <w:semiHidden/>
    <w:unhideWhenUsed/>
    <w:rsid w:val="00DF477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775"/>
    <w:rPr>
      <w:rFonts w:ascii="Tahoma" w:hAnsi="Tahoma" w:cs="Tahoma"/>
      <w:sz w:val="16"/>
      <w:szCs w:val="16"/>
    </w:rPr>
  </w:style>
  <w:style w:type="character" w:styleId="Hyperlink">
    <w:name w:val="Hyperlink"/>
    <w:basedOn w:val="Standardskrifttypeiafsnit"/>
    <w:semiHidden/>
    <w:unhideWhenUsed/>
    <w:rsid w:val="005D20B1"/>
    <w:rPr>
      <w:color w:val="0000FF"/>
      <w:u w:val="single"/>
    </w:rPr>
  </w:style>
  <w:style w:type="paragraph" w:styleId="Listeafsnit">
    <w:name w:val="List Paragraph"/>
    <w:basedOn w:val="Normal"/>
    <w:uiPriority w:val="34"/>
    <w:qFormat/>
    <w:rsid w:val="005D20B1"/>
    <w:pPr>
      <w:ind w:left="720"/>
      <w:contextualSpacing/>
    </w:pPr>
  </w:style>
  <w:style w:type="table" w:styleId="Tabel-Gitter">
    <w:name w:val="Table Grid"/>
    <w:basedOn w:val="Tabel-Normal"/>
    <w:rsid w:val="005D20B1"/>
    <w:pPr>
      <w:spacing w:after="0" w:line="240" w:lineRule="auto"/>
    </w:pPr>
    <w:rPr>
      <w:rFonts w:ascii="Times New Roman" w:eastAsia="Times New Roman" w:hAnsi="Times New Roman" w:cs="Times New Roman"/>
      <w:sz w:val="20"/>
      <w:szCs w:val="20"/>
      <w:lang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6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tomkost.d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B7545-0210-4A92-9C56-0D4845284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D6C01F5E</Template>
  <TotalTime>1</TotalTime>
  <Pages>3</Pages>
  <Words>999</Words>
  <Characters>6094</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Kerteminde Kommune</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Lille administrator</dc:creator>
  <cp:lastModifiedBy>Lone Aakær Hansen</cp:lastModifiedBy>
  <cp:revision>2</cp:revision>
  <dcterms:created xsi:type="dcterms:W3CDTF">2018-05-14T09:19:00Z</dcterms:created>
  <dcterms:modified xsi:type="dcterms:W3CDTF">2018-05-14T09:19:00Z</dcterms:modified>
</cp:coreProperties>
</file>